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02" w:firstLineChars="200"/>
        <w:jc w:val="center"/>
        <w:textAlignment w:val="auto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南京市第二医院生活护理、陪检服务报价单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一对一”特需陪护服务最高限价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/天/人（24小时），“一对多”准团队制服务最高限价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/天/人（24小时）。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按照在岗陪护人员人数标准*元*人*天的水电气等资源占用费（含管理费）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/人/天（24小时）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报价注意事项：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①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价格一律以人民币计算，以元为单位标准；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trike w:val="0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②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报价时应充分考虑所有可能影响到报价的因素</w:t>
      </w:r>
      <w:r>
        <w:rPr>
          <w:rFonts w:hint="eastAsia" w:asciiTheme="minorEastAsia" w:hAnsi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如发生漏、缺、少项，都将被认为是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strike w:val="0"/>
          <w:dstrike w:val="0"/>
          <w:color w:val="auto"/>
          <w:sz w:val="32"/>
          <w:szCs w:val="32"/>
          <w:highlight w:val="none"/>
        </w:rPr>
        <w:t>的报价让利行为，损失自负</w:t>
      </w:r>
      <w:r>
        <w:rPr>
          <w:rFonts w:hint="eastAsia" w:asciiTheme="minorEastAsia" w:hAnsiTheme="minorEastAsia" w:eastAsiaTheme="minorEastAsia" w:cstheme="minorEastAsia"/>
          <w:strike w:val="0"/>
          <w:color w:val="auto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TFjNzI4Yjk1MGU2MjM0YzdjMjY2MjFkNTFhNWUifQ=="/>
  </w:docVars>
  <w:rsids>
    <w:rsidRoot w:val="00000000"/>
    <w:rsid w:val="267D7055"/>
    <w:rsid w:val="776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2022-11-03T07:38:00Z</dcterms:created>
  <dc:creator>zczx</dc:creator>
  <cp:lastModifiedBy>一半</cp:lastModifiedBy>
  <dcterms:modified xsi:type="dcterms:W3CDTF">2024-04-11T02:39:38Z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2DB5D4636288420A96D62E2743A7DADD</vt:lpwstr>
  </property>
</Properties>
</file>